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DC9A2" w14:textId="1DAAA2B5" w:rsidR="00DA1DE4" w:rsidRPr="00D37B13" w:rsidRDefault="00D37B13" w:rsidP="00D37B13">
      <w:pPr>
        <w:rPr>
          <w:b/>
          <w:bCs/>
          <w:color w:val="0070C0"/>
          <w:sz w:val="28"/>
          <w:szCs w:val="28"/>
        </w:rPr>
      </w:pPr>
      <w:bookmarkStart w:id="0" w:name="_Hlk120098389"/>
      <w:r>
        <w:rPr>
          <w:b/>
          <w:bCs/>
          <w:noProof/>
          <w:color w:val="0070C0"/>
          <w:sz w:val="28"/>
          <w:szCs w:val="28"/>
        </w:rPr>
        <mc:AlternateContent>
          <mc:Choice Requires="wps">
            <w:drawing>
              <wp:anchor distT="0" distB="0" distL="114300" distR="114300" simplePos="0" relativeHeight="251660288" behindDoc="0" locked="0" layoutInCell="1" allowOverlap="1" wp14:anchorId="6F9966B8" wp14:editId="385D61C7">
                <wp:simplePos x="0" y="0"/>
                <wp:positionH relativeFrom="column">
                  <wp:posOffset>790761</wp:posOffset>
                </wp:positionH>
                <wp:positionV relativeFrom="paragraph">
                  <wp:posOffset>10795</wp:posOffset>
                </wp:positionV>
                <wp:extent cx="0" cy="867679"/>
                <wp:effectExtent l="0" t="0" r="38100" b="27940"/>
                <wp:wrapNone/>
                <wp:docPr id="2" name="Ευθεία γραμμή σύνδεσης 2"/>
                <wp:cNvGraphicFramePr/>
                <a:graphic xmlns:a="http://schemas.openxmlformats.org/drawingml/2006/main">
                  <a:graphicData uri="http://schemas.microsoft.com/office/word/2010/wordprocessingShape">
                    <wps:wsp>
                      <wps:cNvCnPr/>
                      <wps:spPr>
                        <a:xfrm>
                          <a:off x="0" y="0"/>
                          <a:ext cx="0" cy="867679"/>
                        </a:xfrm>
                        <a:prstGeom prst="line">
                          <a:avLst/>
                        </a:prstGeom>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v:line w14:anchorId="3A45C2D4" id="Ευθεία γραμμή σύνδεσης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2.25pt,.85pt" to="62.25pt,6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" strokecolor="#ffc000 [3207]" strokeweight="1.5pt">
                <v:stroke joinstyle="miter"/>
              </v:line>
            </w:pict>
          </mc:Fallback>
        </mc:AlternateContent>
      </w:r>
      <w:r>
        <w:rPr>
          <w:noProof/>
        </w:rPr>
        <w:drawing>
          <wp:anchor distT="0" distB="0" distL="114300" distR="114300" simplePos="0" relativeHeight="251657216" behindDoc="0" locked="0" layoutInCell="1" allowOverlap="1" wp14:anchorId="56232F35" wp14:editId="00BEDC84">
            <wp:simplePos x="0" y="0"/>
            <wp:positionH relativeFrom="margin">
              <wp:posOffset>-100117</wp:posOffset>
            </wp:positionH>
            <wp:positionV relativeFrom="paragraph">
              <wp:posOffset>0</wp:posOffset>
            </wp:positionV>
            <wp:extent cx="960120" cy="960120"/>
            <wp:effectExtent l="0" t="0" r="0" b="0"/>
            <wp:wrapThrough wrapText="bothSides">
              <wp:wrapPolygon edited="0">
                <wp:start x="0" y="0"/>
                <wp:lineTo x="0" y="21000"/>
                <wp:lineTo x="21000" y="21000"/>
                <wp:lineTo x="21000" y="0"/>
                <wp:lineTo x="0" y="0"/>
              </wp:wrapPolygon>
            </wp:wrapThrough>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60120" cy="960120"/>
                    </a:xfrm>
                    <a:prstGeom prst="rect">
                      <a:avLst/>
                    </a:prstGeom>
                  </pic:spPr>
                </pic:pic>
              </a:graphicData>
            </a:graphic>
            <wp14:sizeRelH relativeFrom="page">
              <wp14:pctWidth>0</wp14:pctWidth>
            </wp14:sizeRelH>
            <wp14:sizeRelV relativeFrom="page">
              <wp14:pctHeight>0</wp14:pctHeight>
            </wp14:sizeRelV>
          </wp:anchor>
        </w:drawing>
      </w:r>
      <w:r w:rsidR="00B423AB" w:rsidRPr="00D37B13">
        <w:rPr>
          <w:b/>
          <w:bCs/>
          <w:color w:val="0070C0"/>
          <w:sz w:val="28"/>
          <w:szCs w:val="28"/>
        </w:rPr>
        <w:t>ΠΑΝΕΛΛΗΝΙΑ ΟΜΟΣΠΟΝΔΙΑ ΕΛΕΥΘΕΡΟΕΠΑΓΓΕΛΜΑΤΙΩΝ ΠΑΙΔΙΑΤΡΩΝ</w:t>
      </w:r>
    </w:p>
    <w:p w14:paraId="3DC0D0CE" w14:textId="79939FF8" w:rsidR="00D37B13" w:rsidRPr="00D37B13" w:rsidRDefault="00D37B13" w:rsidP="00516D51">
      <w:pPr>
        <w:spacing w:after="0"/>
      </w:pPr>
      <w:r>
        <w:t xml:space="preserve">Έδρα: </w:t>
      </w:r>
      <w:r w:rsidRPr="00D37B13">
        <w:t>Λ Περικλ</w:t>
      </w:r>
      <w:r>
        <w:t>έ</w:t>
      </w:r>
      <w:r w:rsidRPr="00D37B13">
        <w:t xml:space="preserve">ους 3 </w:t>
      </w:r>
      <w:r>
        <w:t>Χ</w:t>
      </w:r>
      <w:r w:rsidRPr="00D37B13">
        <w:t>ολαργός</w:t>
      </w:r>
      <w:r w:rsidRPr="00D37B13">
        <w:t xml:space="preserve"> ΤΚ 15561</w:t>
      </w:r>
    </w:p>
    <w:p w14:paraId="35D145BA" w14:textId="74716872" w:rsidR="00B423AB" w:rsidRPr="00D37B13" w:rsidRDefault="00B423AB" w:rsidP="00516D51">
      <w:pPr>
        <w:spacing w:after="0"/>
        <w:rPr>
          <w:lang w:val="en-US"/>
        </w:rPr>
      </w:pPr>
      <w:r>
        <w:rPr>
          <w:lang w:val="en-US"/>
        </w:rPr>
        <w:t>Email</w:t>
      </w:r>
      <w:r w:rsidRPr="00D37B13">
        <w:rPr>
          <w:lang w:val="en-US"/>
        </w:rPr>
        <w:t xml:space="preserve">: </w:t>
      </w:r>
      <w:r w:rsidRPr="00B423AB">
        <w:rPr>
          <w:lang w:val="en-US"/>
        </w:rPr>
        <w:t>hellenic</w:t>
      </w:r>
      <w:r w:rsidRPr="00D37B13">
        <w:rPr>
          <w:lang w:val="en-US"/>
        </w:rPr>
        <w:t>.</w:t>
      </w:r>
      <w:r w:rsidRPr="00B423AB">
        <w:rPr>
          <w:lang w:val="en-US"/>
        </w:rPr>
        <w:t>pediatricians</w:t>
      </w:r>
      <w:r w:rsidRPr="00D37B13">
        <w:rPr>
          <w:lang w:val="en-US"/>
        </w:rPr>
        <w:t>@</w:t>
      </w:r>
      <w:r w:rsidRPr="00B423AB">
        <w:rPr>
          <w:lang w:val="en-US"/>
        </w:rPr>
        <w:t>gmail</w:t>
      </w:r>
      <w:r w:rsidRPr="00D37B13">
        <w:rPr>
          <w:lang w:val="en-US"/>
        </w:rPr>
        <w:t>.</w:t>
      </w:r>
      <w:r w:rsidRPr="00B423AB">
        <w:rPr>
          <w:lang w:val="en-US"/>
        </w:rPr>
        <w:t>com</w:t>
      </w:r>
    </w:p>
    <w:p w14:paraId="5FEC483B" w14:textId="5A7F743F" w:rsidR="00B423AB" w:rsidRPr="00516D51" w:rsidRDefault="00516D51" w:rsidP="00516D51">
      <w:pPr>
        <w:spacing w:after="0"/>
      </w:pPr>
      <w:r>
        <w:t>ΑΦΜ:996616133</w:t>
      </w:r>
    </w:p>
    <w:bookmarkEnd w:id="0"/>
    <w:p w14:paraId="4460243A" w14:textId="375A9C5D" w:rsidR="00BE4BB2" w:rsidRPr="00D37B13" w:rsidRDefault="00BE4BB2"/>
    <w:p w14:paraId="1273AF58" w14:textId="77777777" w:rsidR="00D37B13" w:rsidRDefault="00D37B13" w:rsidP="00D37B13">
      <w:pPr>
        <w:jc w:val="both"/>
        <w:rPr>
          <w:rFonts w:ascii="Calibri" w:eastAsia="Calibri" w:hAnsi="Calibri" w:cs="Times New Roman"/>
          <w:b/>
          <w:bCs/>
          <w:sz w:val="28"/>
          <w:szCs w:val="28"/>
        </w:rPr>
      </w:pPr>
    </w:p>
    <w:p w14:paraId="773EA7F5" w14:textId="7B1A8427" w:rsidR="00D37B13" w:rsidRPr="00D37B13" w:rsidRDefault="00D37B13" w:rsidP="00D37B13">
      <w:pPr>
        <w:jc w:val="both"/>
        <w:rPr>
          <w:rFonts w:ascii="Calibri" w:eastAsia="Calibri" w:hAnsi="Calibri" w:cs="Times New Roman"/>
          <w:b/>
          <w:bCs/>
          <w:sz w:val="28"/>
          <w:szCs w:val="28"/>
        </w:rPr>
      </w:pPr>
      <w:r w:rsidRPr="00D37B13">
        <w:rPr>
          <w:rFonts w:ascii="Calibri" w:eastAsia="Calibri" w:hAnsi="Calibri" w:cs="Times New Roman"/>
          <w:b/>
          <w:bCs/>
          <w:sz w:val="28"/>
          <w:szCs w:val="28"/>
        </w:rPr>
        <w:t>Εμβολιασμός ενάντια στη νόσο COVID-19 και παιδιατρικός πληθυσμός</w:t>
      </w:r>
    </w:p>
    <w:p w14:paraId="39BE47D5" w14:textId="77777777" w:rsidR="00D37B13" w:rsidRPr="00D37B13" w:rsidRDefault="00D37B13" w:rsidP="00D37B13">
      <w:pPr>
        <w:shd w:val="clear" w:color="auto" w:fill="FFFFFF"/>
        <w:jc w:val="both"/>
        <w:textAlignment w:val="baseline"/>
        <w:rPr>
          <w:rFonts w:ascii="Helvetica" w:eastAsia="Calibri" w:hAnsi="Helvetica" w:cs="Helvetica"/>
          <w:color w:val="2A2A2A"/>
          <w:sz w:val="18"/>
          <w:szCs w:val="18"/>
        </w:rPr>
      </w:pPr>
      <w:r w:rsidRPr="00D37B13">
        <w:rPr>
          <w:rFonts w:ascii="Calibri" w:eastAsia="Calibri" w:hAnsi="Calibri" w:cs="Times New Roman"/>
          <w:sz w:val="24"/>
          <w:szCs w:val="24"/>
        </w:rPr>
        <w:t>Σύμφωνα με τον Παγκόσμιο Οργανισμό Υγείας (ΠΟΥ) μέχρι και την 1η Νοεμβρίου 2022, παγκοσμίως περισσότερα από 619 εκατομμύρια κρούσματα Covid-19 αναφέρθηκαν και περισσότεροι από 6,5 εκατομμύρια άνθρωποι έχασαν τη ζωή τους εξαιτίας της μόλυνσης με τον SARS-CoV-2</w:t>
      </w:r>
      <w:bookmarkStart w:id="1" w:name="jumplink-dyac225-B2"/>
      <w:bookmarkEnd w:id="1"/>
      <w:r w:rsidRPr="00D37B13">
        <w:rPr>
          <w:rFonts w:ascii="Calibri" w:eastAsia="Calibri" w:hAnsi="Calibri" w:cs="Times New Roman"/>
          <w:sz w:val="24"/>
          <w:szCs w:val="24"/>
        </w:rPr>
        <w:t>.</w:t>
      </w:r>
      <w:r w:rsidRPr="00D37B13">
        <w:rPr>
          <w:rFonts w:ascii="Calibri" w:eastAsia="Calibri" w:hAnsi="Calibri" w:cs="Times New Roman"/>
          <w:sz w:val="24"/>
          <w:szCs w:val="24"/>
          <w:vertAlign w:val="superscript"/>
        </w:rPr>
        <w:t>1</w:t>
      </w:r>
    </w:p>
    <w:p w14:paraId="53D68A86" w14:textId="77777777" w:rsidR="00D37B13" w:rsidRPr="00D37B13" w:rsidRDefault="00D37B13" w:rsidP="00D37B13">
      <w:pPr>
        <w:shd w:val="clear" w:color="auto" w:fill="FFFFFF"/>
        <w:jc w:val="both"/>
        <w:textAlignment w:val="baseline"/>
        <w:rPr>
          <w:rFonts w:ascii="Helvetica" w:eastAsia="Calibri" w:hAnsi="Helvetica" w:cs="Helvetica"/>
          <w:color w:val="2A2A2A"/>
          <w:sz w:val="18"/>
          <w:szCs w:val="18"/>
        </w:rPr>
      </w:pPr>
      <w:r w:rsidRPr="00D37B13">
        <w:rPr>
          <w:rFonts w:ascii="Calibri" w:eastAsia="Calibri" w:hAnsi="Calibri" w:cs="Times New Roman"/>
          <w:sz w:val="24"/>
          <w:szCs w:val="24"/>
        </w:rPr>
        <w:t>Σύμφωνα με την UNICEF, τα παιδιά και οι έφηβοι κάτω των 20 ετών αντιπροσωπεύουν το 21% των αναφερόμενων περιπτώσεων Covid-19 και, με βάση τις καλύτερες διαθέσιμες εκτιμήσεις 60 000 παιδιά και έφηβοι έχουν πεθάνει από την Covid-19. </w:t>
      </w:r>
      <w:r w:rsidRPr="00D37B13">
        <w:rPr>
          <w:rFonts w:ascii="Calibri" w:eastAsia="Calibri" w:hAnsi="Calibri" w:cs="Times New Roman"/>
          <w:sz w:val="24"/>
          <w:szCs w:val="24"/>
          <w:vertAlign w:val="superscript"/>
        </w:rPr>
        <w:t>2</w:t>
      </w:r>
    </w:p>
    <w:p w14:paraId="688D0FD8" w14:textId="77777777" w:rsidR="00D37B13" w:rsidRPr="00D37B13" w:rsidRDefault="00D37B13" w:rsidP="00D37B13">
      <w:pPr>
        <w:jc w:val="both"/>
        <w:rPr>
          <w:rFonts w:ascii="Calibri" w:eastAsia="Calibri" w:hAnsi="Calibri" w:cs="Times New Roman"/>
          <w:b/>
          <w:bCs/>
          <w:sz w:val="24"/>
          <w:szCs w:val="24"/>
        </w:rPr>
      </w:pPr>
      <w:bookmarkStart w:id="2" w:name="jumplink-dyac225-B3"/>
      <w:bookmarkEnd w:id="2"/>
      <w:r w:rsidRPr="00D37B13">
        <w:rPr>
          <w:rFonts w:ascii="Calibri" w:eastAsia="Calibri" w:hAnsi="Calibri" w:cs="Times New Roman"/>
          <w:b/>
          <w:bCs/>
          <w:sz w:val="24"/>
          <w:szCs w:val="24"/>
        </w:rPr>
        <w:t>Στη χώρα μας, αν και μεγάλο ποσοστό του ενήλικου πληθυσμού έχει λάβει τουλάχιστον μία δόση εμβολίου ενάντια στον SARS-CoV-2, παραμένει σε χαμηλά ποσοστά ο εμβολιασμός των παιδιών. Η Ομοσπονδία  Ελευθεροεπαγγελματιών Παιδιάτρων  Ελλάδας εκφράζει τη βαθιά της ανησυχία για τα χαμηλά ποσοστά εμβολιασμού κατά του Covid-19 μεταξύ των παιδιών, καθώς και για τις επίσημες συστάσεις σχετικά με τον παιδιατρικό εμβολιασμό έναντι της νόσου COVID-19 στη χώρα μας οι οποίες δεν ενθαρρύνουν τον εμβολιασμό των παιδιών.</w:t>
      </w:r>
    </w:p>
    <w:p w14:paraId="06A5B128" w14:textId="77777777" w:rsidR="00D37B13" w:rsidRPr="00D37B13" w:rsidRDefault="00D37B13" w:rsidP="00D37B13">
      <w:pPr>
        <w:jc w:val="both"/>
        <w:rPr>
          <w:rFonts w:ascii="Calibri" w:eastAsia="Calibri" w:hAnsi="Calibri" w:cs="Times New Roman"/>
          <w:sz w:val="24"/>
          <w:szCs w:val="24"/>
        </w:rPr>
      </w:pPr>
      <w:r w:rsidRPr="00D37B13">
        <w:rPr>
          <w:rFonts w:ascii="Calibri" w:eastAsia="Calibri" w:hAnsi="Calibri" w:cs="Times New Roman"/>
          <w:sz w:val="24"/>
          <w:szCs w:val="24"/>
        </w:rPr>
        <w:t xml:space="preserve">Αν και τα παιδιά στην πλειονότητα τους εμφανίζουν ήπια νόσο, υπάρχει ακόμα ισχυρή πιθανότητα να εμφανίσουν σοβαρή νόσο και να χρειαστούν νοσηλεία, ενώ εμφανίζουν και άλλες σοβαρές επιπλοκές της νόσου, όπως το </w:t>
      </w:r>
      <w:proofErr w:type="spellStart"/>
      <w:r w:rsidRPr="00D37B13">
        <w:rPr>
          <w:rFonts w:ascii="Calibri" w:eastAsia="Calibri" w:hAnsi="Calibri" w:cs="Times New Roman"/>
          <w:sz w:val="24"/>
          <w:szCs w:val="24"/>
        </w:rPr>
        <w:t>πολυοργανικό</w:t>
      </w:r>
      <w:proofErr w:type="spellEnd"/>
      <w:r w:rsidRPr="00D37B13">
        <w:rPr>
          <w:rFonts w:ascii="Calibri" w:eastAsia="Calibri" w:hAnsi="Calibri" w:cs="Times New Roman"/>
          <w:sz w:val="24"/>
          <w:szCs w:val="24"/>
        </w:rPr>
        <w:t xml:space="preserve"> φλεγμονώδες σύνδρομο </w:t>
      </w:r>
      <w:r w:rsidRPr="00D37B13">
        <w:rPr>
          <w:rFonts w:ascii="Calibri" w:eastAsia="Calibri" w:hAnsi="Calibri" w:cs="Times New Roman"/>
          <w:sz w:val="24"/>
          <w:szCs w:val="24"/>
          <w:lang w:val="en-US"/>
        </w:rPr>
        <w:t>MIS</w:t>
      </w:r>
      <w:r w:rsidRPr="00D37B13">
        <w:rPr>
          <w:rFonts w:ascii="Calibri" w:eastAsia="Calibri" w:hAnsi="Calibri" w:cs="Times New Roman"/>
          <w:sz w:val="24"/>
          <w:szCs w:val="24"/>
        </w:rPr>
        <w:t>-</w:t>
      </w:r>
      <w:r w:rsidRPr="00D37B13">
        <w:rPr>
          <w:rFonts w:ascii="Calibri" w:eastAsia="Calibri" w:hAnsi="Calibri" w:cs="Times New Roman"/>
          <w:sz w:val="24"/>
          <w:szCs w:val="24"/>
          <w:lang w:val="en-US"/>
        </w:rPr>
        <w:t>C</w:t>
      </w:r>
      <w:r w:rsidRPr="00D37B13">
        <w:rPr>
          <w:rFonts w:ascii="Calibri" w:eastAsia="Calibri" w:hAnsi="Calibri" w:cs="Times New Roman"/>
          <w:sz w:val="24"/>
          <w:szCs w:val="24"/>
        </w:rPr>
        <w:t xml:space="preserve"> (περισσότερα από 130 παιδιά στη χώρα μας) και το </w:t>
      </w:r>
      <w:proofErr w:type="spellStart"/>
      <w:r w:rsidRPr="00D37B13">
        <w:rPr>
          <w:rFonts w:ascii="Calibri" w:eastAsia="Calibri" w:hAnsi="Calibri" w:cs="Times New Roman"/>
          <w:sz w:val="24"/>
          <w:szCs w:val="24"/>
        </w:rPr>
        <w:t>Long</w:t>
      </w:r>
      <w:proofErr w:type="spellEnd"/>
      <w:r w:rsidRPr="00D37B13">
        <w:rPr>
          <w:rFonts w:ascii="Calibri" w:eastAsia="Calibri" w:hAnsi="Calibri" w:cs="Times New Roman"/>
          <w:sz w:val="24"/>
          <w:szCs w:val="24"/>
        </w:rPr>
        <w:t>-COVID.</w:t>
      </w:r>
    </w:p>
    <w:p w14:paraId="1D89FD49" w14:textId="77777777" w:rsidR="00D37B13" w:rsidRPr="00D37B13" w:rsidRDefault="00D37B13" w:rsidP="00D37B13">
      <w:pPr>
        <w:jc w:val="both"/>
        <w:rPr>
          <w:rFonts w:ascii="Calibri" w:eastAsia="Calibri" w:hAnsi="Calibri" w:cs="Times New Roman"/>
          <w:sz w:val="24"/>
          <w:szCs w:val="24"/>
        </w:rPr>
      </w:pPr>
      <w:r w:rsidRPr="00D37B13">
        <w:rPr>
          <w:rFonts w:ascii="Calibri" w:eastAsia="Calibri" w:hAnsi="Calibri" w:cs="Times New Roman"/>
          <w:sz w:val="24"/>
          <w:szCs w:val="24"/>
        </w:rPr>
        <w:t xml:space="preserve">Πρόσφατα η Διεθνής Ένωση Επιδημιολόγων απηύθυνε κάλεσμα για καθολικό εμβολιασμό του παιδιατρικού πληθυσμού. </w:t>
      </w:r>
      <w:r w:rsidRPr="00D37B13">
        <w:rPr>
          <w:rFonts w:ascii="Calibri" w:eastAsia="Calibri" w:hAnsi="Calibri" w:cs="Times New Roman"/>
          <w:sz w:val="24"/>
          <w:szCs w:val="24"/>
          <w:vertAlign w:val="superscript"/>
        </w:rPr>
        <w:t>3</w:t>
      </w:r>
    </w:p>
    <w:p w14:paraId="149EBE9C" w14:textId="77777777" w:rsidR="00153102" w:rsidRDefault="00D37B13" w:rsidP="00153102">
      <w:pPr>
        <w:jc w:val="both"/>
        <w:rPr>
          <w:rFonts w:ascii="Calibri" w:eastAsia="Calibri" w:hAnsi="Calibri" w:cs="Times New Roman"/>
          <w:sz w:val="24"/>
          <w:szCs w:val="24"/>
          <w:vertAlign w:val="superscript"/>
        </w:rPr>
      </w:pPr>
      <w:r w:rsidRPr="00D37B13">
        <w:rPr>
          <w:rFonts w:ascii="Calibri" w:eastAsia="Calibri" w:hAnsi="Calibri" w:cs="Times New Roman"/>
          <w:b/>
          <w:bCs/>
          <w:sz w:val="24"/>
          <w:szCs w:val="24"/>
        </w:rPr>
        <w:t xml:space="preserve">Πιστεύουμε ότι σε ατομικό επίπεδο ο εμβολιασμός εναντίον του </w:t>
      </w:r>
      <w:r w:rsidRPr="00D37B13">
        <w:rPr>
          <w:rFonts w:ascii="Calibri" w:eastAsia="Calibri" w:hAnsi="Calibri" w:cs="Times New Roman"/>
          <w:b/>
          <w:bCs/>
          <w:sz w:val="24"/>
          <w:szCs w:val="24"/>
          <w:lang w:val="en-US"/>
        </w:rPr>
        <w:t>Sars</w:t>
      </w:r>
      <w:r w:rsidRPr="00D37B13">
        <w:rPr>
          <w:rFonts w:ascii="Calibri" w:eastAsia="Calibri" w:hAnsi="Calibri" w:cs="Times New Roman"/>
          <w:b/>
          <w:bCs/>
          <w:sz w:val="24"/>
          <w:szCs w:val="24"/>
        </w:rPr>
        <w:t>-</w:t>
      </w:r>
      <w:proofErr w:type="spellStart"/>
      <w:r w:rsidRPr="00D37B13">
        <w:rPr>
          <w:rFonts w:ascii="Calibri" w:eastAsia="Calibri" w:hAnsi="Calibri" w:cs="Times New Roman"/>
          <w:b/>
          <w:bCs/>
          <w:sz w:val="24"/>
          <w:szCs w:val="24"/>
          <w:lang w:val="en-US"/>
        </w:rPr>
        <w:t>Cov</w:t>
      </w:r>
      <w:proofErr w:type="spellEnd"/>
      <w:r w:rsidRPr="00D37B13">
        <w:rPr>
          <w:rFonts w:ascii="Calibri" w:eastAsia="Calibri" w:hAnsi="Calibri" w:cs="Times New Roman"/>
          <w:b/>
          <w:bCs/>
          <w:sz w:val="24"/>
          <w:szCs w:val="24"/>
        </w:rPr>
        <w:t>2 ωφελεί </w:t>
      </w:r>
      <w:r w:rsidR="00E75AC1">
        <w:rPr>
          <w:rFonts w:ascii="Calibri" w:eastAsia="Calibri" w:hAnsi="Calibri" w:cs="Times New Roman"/>
          <w:b/>
          <w:bCs/>
          <w:sz w:val="24"/>
          <w:szCs w:val="24"/>
        </w:rPr>
        <w:t>τα</w:t>
      </w:r>
      <w:r w:rsidRPr="00D37B13">
        <w:rPr>
          <w:rFonts w:ascii="Calibri" w:eastAsia="Calibri" w:hAnsi="Calibri" w:cs="Times New Roman"/>
          <w:b/>
          <w:bCs/>
          <w:sz w:val="24"/>
          <w:szCs w:val="24"/>
        </w:rPr>
        <w:t xml:space="preserve"> παιδιά γιατί:</w:t>
      </w:r>
      <w:r w:rsidRPr="00D37B13">
        <w:rPr>
          <w:rFonts w:ascii="Calibri" w:eastAsia="Calibri" w:hAnsi="Calibri" w:cs="Times New Roman"/>
          <w:b/>
          <w:bCs/>
          <w:sz w:val="24"/>
          <w:szCs w:val="24"/>
        </w:rPr>
        <w:br/>
      </w:r>
      <w:r w:rsidRPr="00D37B13">
        <w:rPr>
          <w:rFonts w:ascii="Calibri" w:eastAsia="Calibri" w:hAnsi="Calibri" w:cs="Times New Roman"/>
          <w:sz w:val="24"/>
          <w:szCs w:val="24"/>
        </w:rPr>
        <w:br/>
        <w:t>1)Τα εμβολιασμένα παιδιά έχουν λιγότερες πιθανότητες να μολυνθούν από τον Covid-19.</w:t>
      </w:r>
      <w:r w:rsidRPr="00D37B13">
        <w:rPr>
          <w:rFonts w:ascii="Calibri" w:eastAsia="Calibri" w:hAnsi="Calibri" w:cs="Times New Roman"/>
          <w:sz w:val="24"/>
          <w:szCs w:val="24"/>
          <w:vertAlign w:val="superscript"/>
        </w:rPr>
        <w:t>4-5</w:t>
      </w:r>
    </w:p>
    <w:p w14:paraId="51C6A45F" w14:textId="2903296F" w:rsidR="00D37B13" w:rsidRPr="00D37B13" w:rsidRDefault="00D37B13" w:rsidP="00153102">
      <w:pPr>
        <w:jc w:val="both"/>
        <w:rPr>
          <w:rFonts w:ascii="Calibri" w:eastAsia="Calibri" w:hAnsi="Calibri" w:cs="Times New Roman"/>
          <w:sz w:val="24"/>
          <w:szCs w:val="24"/>
        </w:rPr>
      </w:pPr>
      <w:r w:rsidRPr="00D37B13">
        <w:rPr>
          <w:rFonts w:ascii="Calibri" w:eastAsia="Calibri" w:hAnsi="Calibri" w:cs="Times New Roman"/>
          <w:sz w:val="24"/>
          <w:szCs w:val="24"/>
        </w:rPr>
        <w:t xml:space="preserve">2) Εάν μολυνθούν έχουν μικρότερες πιθανότητες  να εισαχθούν σε νοσοκομείο, σε ΜΕΘ ή πολύ σπανιότερα να πεθάνουν ή να αναπτύξουν MIS-C. </w:t>
      </w:r>
      <w:r w:rsidRPr="00D37B13">
        <w:rPr>
          <w:rFonts w:ascii="Calibri" w:eastAsia="Calibri" w:hAnsi="Calibri" w:cs="Times New Roman"/>
          <w:sz w:val="24"/>
          <w:szCs w:val="24"/>
          <w:vertAlign w:val="superscript"/>
        </w:rPr>
        <w:t>6-7-8</w:t>
      </w:r>
    </w:p>
    <w:p w14:paraId="33E391FA" w14:textId="77777777" w:rsidR="00D37B13" w:rsidRPr="00D37B13" w:rsidRDefault="00D37B13" w:rsidP="00AF51B8">
      <w:pPr>
        <w:shd w:val="clear" w:color="auto" w:fill="FFFFFF"/>
        <w:jc w:val="both"/>
        <w:textAlignment w:val="baseline"/>
        <w:rPr>
          <w:rFonts w:ascii="Helvetica" w:eastAsia="Calibri" w:hAnsi="Helvetica" w:cs="Helvetica"/>
          <w:color w:val="2A2A2A"/>
          <w:sz w:val="18"/>
          <w:szCs w:val="18"/>
          <w:shd w:val="clear" w:color="auto" w:fill="FFFFFF"/>
        </w:rPr>
      </w:pPr>
      <w:r w:rsidRPr="00D37B13">
        <w:rPr>
          <w:rFonts w:ascii="Calibri" w:eastAsia="Calibri" w:hAnsi="Calibri" w:cs="Times New Roman"/>
          <w:sz w:val="24"/>
          <w:szCs w:val="24"/>
        </w:rPr>
        <w:t xml:space="preserve">3)O εμβολιασμός προσφέρει προστασία από επιπλοκές που σχετίζονται με την Covid-19  και μπορεί να μειώσει τις δυσανάλογες επιπτώσεις στην υγεία των παιδιών που έχουν ήδη επιφέρει τα παρατεταμένα μέτρα ελέγχου. </w:t>
      </w:r>
      <w:r w:rsidRPr="00D37B13">
        <w:rPr>
          <w:rFonts w:ascii="Calibri" w:eastAsia="Calibri" w:hAnsi="Calibri" w:cs="Times New Roman"/>
          <w:sz w:val="24"/>
          <w:szCs w:val="24"/>
          <w:vertAlign w:val="superscript"/>
        </w:rPr>
        <w:t>9</w:t>
      </w:r>
      <w:r w:rsidRPr="00D37B13">
        <w:rPr>
          <w:rFonts w:ascii="Calibri" w:eastAsia="Calibri" w:hAnsi="Calibri" w:cs="Times New Roman"/>
          <w:sz w:val="24"/>
          <w:szCs w:val="24"/>
        </w:rPr>
        <w:t> </w:t>
      </w:r>
    </w:p>
    <w:p w14:paraId="3C63F3D8" w14:textId="77777777" w:rsidR="00D37B13" w:rsidRPr="00D37B13" w:rsidRDefault="00D37B13" w:rsidP="00D37B13">
      <w:pPr>
        <w:shd w:val="clear" w:color="auto" w:fill="FFFFFF"/>
        <w:jc w:val="both"/>
        <w:textAlignment w:val="baseline"/>
        <w:rPr>
          <w:rFonts w:ascii="Calibri" w:eastAsia="Calibri" w:hAnsi="Calibri" w:cs="Times New Roman"/>
          <w:sz w:val="24"/>
          <w:szCs w:val="24"/>
        </w:rPr>
      </w:pPr>
      <w:r w:rsidRPr="00D37B13">
        <w:rPr>
          <w:rFonts w:ascii="Calibri" w:eastAsia="Calibri" w:hAnsi="Calibri" w:cs="Times New Roman"/>
          <w:sz w:val="24"/>
          <w:szCs w:val="24"/>
        </w:rPr>
        <w:t>4) Ακόμα και τα παιδιά που έχουν νοσήσει έχουν όφελος καθώς γνωρίζουμε πλέον ότι η υβριδική ανοσία (νόσος και εμβολιασμός) υπερέχει της ανοσίας που προσφέρει μεμονωμένα ή νόσος ή το εμβόλιο.</w:t>
      </w:r>
    </w:p>
    <w:p w14:paraId="618E7F02" w14:textId="77777777" w:rsidR="00D37B13" w:rsidRPr="00D37B13" w:rsidRDefault="00D37B13" w:rsidP="00D37B13">
      <w:pPr>
        <w:shd w:val="clear" w:color="auto" w:fill="FFFFFF"/>
        <w:jc w:val="both"/>
        <w:textAlignment w:val="baseline"/>
        <w:rPr>
          <w:rFonts w:ascii="Helvetica" w:eastAsia="Calibri" w:hAnsi="Helvetica" w:cs="Helvetica"/>
          <w:color w:val="2A2A2A"/>
          <w:sz w:val="18"/>
          <w:szCs w:val="18"/>
        </w:rPr>
      </w:pPr>
      <w:r w:rsidRPr="00D37B13">
        <w:rPr>
          <w:rFonts w:ascii="Calibri" w:eastAsia="Calibri" w:hAnsi="Calibri" w:cs="Times New Roman"/>
          <w:sz w:val="24"/>
          <w:szCs w:val="24"/>
        </w:rPr>
        <w:t>Από άποψη δημόσιας υγείας, όσο περισσότερα παιδιά εμβολιάζονται, τόσο λιγότερο θα κυκλοφορεί ο ιός και επομένως τόσο καλύτερα θα ελέγχεται η νόσος . </w:t>
      </w:r>
    </w:p>
    <w:p w14:paraId="208EE014" w14:textId="77777777" w:rsidR="00091639" w:rsidRDefault="00091639">
      <w:pPr>
        <w:rPr>
          <w:rFonts w:ascii="Calibri" w:eastAsia="Calibri" w:hAnsi="Calibri" w:cs="Times New Roman"/>
          <w:b/>
          <w:bCs/>
          <w:sz w:val="24"/>
          <w:szCs w:val="24"/>
        </w:rPr>
      </w:pPr>
      <w:r>
        <w:rPr>
          <w:rFonts w:ascii="Calibri" w:eastAsia="Calibri" w:hAnsi="Calibri" w:cs="Times New Roman"/>
          <w:b/>
          <w:bCs/>
          <w:sz w:val="24"/>
          <w:szCs w:val="24"/>
        </w:rPr>
        <w:br w:type="page"/>
      </w:r>
    </w:p>
    <w:p w14:paraId="708B2D56" w14:textId="25E6C135" w:rsidR="00D37B13" w:rsidRPr="00D37B13" w:rsidRDefault="00D37B13" w:rsidP="00D37B13">
      <w:pPr>
        <w:jc w:val="both"/>
        <w:rPr>
          <w:rFonts w:ascii="Calibri" w:eastAsia="Calibri" w:hAnsi="Calibri" w:cs="Times New Roman"/>
          <w:b/>
          <w:bCs/>
          <w:sz w:val="24"/>
          <w:szCs w:val="24"/>
        </w:rPr>
      </w:pPr>
      <w:r w:rsidRPr="00D37B13">
        <w:rPr>
          <w:rFonts w:ascii="Calibri" w:eastAsia="Calibri" w:hAnsi="Calibri" w:cs="Times New Roman"/>
          <w:b/>
          <w:bCs/>
          <w:sz w:val="24"/>
          <w:szCs w:val="24"/>
        </w:rPr>
        <w:lastRenderedPageBreak/>
        <w:t>Σχετικά με τις ηλικίες 5-11</w:t>
      </w:r>
    </w:p>
    <w:p w14:paraId="193874D5" w14:textId="77777777" w:rsidR="00091639" w:rsidRDefault="00D37B13" w:rsidP="00091639">
      <w:pPr>
        <w:spacing w:after="0"/>
        <w:jc w:val="both"/>
        <w:rPr>
          <w:rFonts w:ascii="Calibri" w:eastAsia="Calibri" w:hAnsi="Calibri" w:cs="Times New Roman"/>
          <w:i/>
          <w:iCs/>
          <w:sz w:val="24"/>
          <w:szCs w:val="24"/>
        </w:rPr>
      </w:pPr>
      <w:r w:rsidRPr="00D37B13">
        <w:rPr>
          <w:rFonts w:ascii="Calibri" w:eastAsia="Calibri" w:hAnsi="Calibri" w:cs="Times New Roman"/>
          <w:sz w:val="24"/>
          <w:szCs w:val="24"/>
        </w:rPr>
        <w:t>Πρόσφατα εγκρίθηκε από τον ΕΜΑ το επικαιροποιημένο εμβόλιο και για αυτές τις ηλικίες.</w:t>
      </w:r>
      <w:r w:rsidRPr="00D37B13">
        <w:rPr>
          <w:rFonts w:ascii="Calibri" w:eastAsia="Calibri" w:hAnsi="Calibri" w:cs="Times New Roman"/>
          <w:sz w:val="24"/>
          <w:szCs w:val="24"/>
          <w:vertAlign w:val="superscript"/>
        </w:rPr>
        <w:t>10</w:t>
      </w:r>
      <w:r w:rsidRPr="00D37B13">
        <w:rPr>
          <w:rFonts w:ascii="Calibri" w:eastAsia="Calibri" w:hAnsi="Calibri" w:cs="Times New Roman"/>
          <w:i/>
          <w:iCs/>
          <w:sz w:val="24"/>
          <w:szCs w:val="24"/>
        </w:rPr>
        <w:t xml:space="preserve"> </w:t>
      </w:r>
    </w:p>
    <w:p w14:paraId="26572F55" w14:textId="413F5508" w:rsidR="00D37B13" w:rsidRPr="00D37B13" w:rsidRDefault="00D37B13" w:rsidP="00D37B13">
      <w:pPr>
        <w:jc w:val="both"/>
        <w:rPr>
          <w:rFonts w:ascii="Calibri" w:eastAsia="Calibri" w:hAnsi="Calibri" w:cs="Times New Roman"/>
          <w:b/>
          <w:bCs/>
          <w:sz w:val="24"/>
          <w:szCs w:val="24"/>
        </w:rPr>
      </w:pPr>
      <w:r w:rsidRPr="00D37B13">
        <w:rPr>
          <w:rFonts w:ascii="Calibri" w:eastAsia="Calibri" w:hAnsi="Calibri" w:cs="Times New Roman"/>
          <w:b/>
          <w:bCs/>
          <w:sz w:val="24"/>
          <w:szCs w:val="24"/>
        </w:rPr>
        <w:t>Είναι επομένως σημαντικό</w:t>
      </w:r>
      <w:r w:rsidR="00FD00EB" w:rsidRPr="00FD00EB">
        <w:rPr>
          <w:rFonts w:ascii="Calibri" w:eastAsia="Calibri" w:hAnsi="Calibri" w:cs="Times New Roman"/>
          <w:b/>
          <w:bCs/>
          <w:sz w:val="24"/>
          <w:szCs w:val="24"/>
        </w:rPr>
        <w:t>,</w:t>
      </w:r>
      <w:r w:rsidRPr="00D37B13">
        <w:rPr>
          <w:rFonts w:ascii="Calibri" w:eastAsia="Calibri" w:hAnsi="Calibri" w:cs="Times New Roman"/>
          <w:b/>
          <w:bCs/>
          <w:sz w:val="24"/>
          <w:szCs w:val="24"/>
        </w:rPr>
        <w:t xml:space="preserve"> παιδιά, που έχουν εμβολιαστεί την προηγούμενη σεζόν, δηλαδή 6-12 μήνες πριν, ή έχει περάσει μεγάλο διάστημα από την τελευταία φορά που νόσησαν, να θωρακιστούν με αυτό το εμβόλιο. </w:t>
      </w:r>
      <w:r w:rsidRPr="00D37B13">
        <w:rPr>
          <w:rFonts w:ascii="Calibri" w:eastAsia="Calibri" w:hAnsi="Calibri" w:cs="Times New Roman"/>
          <w:sz w:val="24"/>
          <w:szCs w:val="24"/>
        </w:rPr>
        <w:t>Υπάρχει ήδη τεράστια εμπειρία από τον αναμνηστικό εμβολιασμό σε αυτές τις ηλικίες με τη χορήγηση εκατομμυρίων δόσεων παγκοσμίως, με πολύ καλό προφίλ ασφάλειας και υψηλή αποτελεσματικότητα.</w:t>
      </w:r>
      <w:r w:rsidRPr="00D37B13">
        <w:rPr>
          <w:rFonts w:ascii="Calibri" w:eastAsia="Calibri" w:hAnsi="Calibri" w:cs="Times New Roman"/>
          <w:sz w:val="24"/>
          <w:szCs w:val="24"/>
          <w:vertAlign w:val="superscript"/>
        </w:rPr>
        <w:t>11-12</w:t>
      </w:r>
      <w:r w:rsidRPr="00D37B13">
        <w:rPr>
          <w:rFonts w:ascii="Calibri" w:eastAsia="Calibri" w:hAnsi="Calibri" w:cs="Times New Roman"/>
        </w:rPr>
        <w:t xml:space="preserve"> </w:t>
      </w:r>
      <w:r w:rsidR="00812D8B">
        <w:rPr>
          <w:rFonts w:ascii="Calibri" w:eastAsia="Calibri" w:hAnsi="Calibri" w:cs="Times New Roman"/>
          <w:sz w:val="24"/>
          <w:szCs w:val="24"/>
        </w:rPr>
        <w:t>Π</w:t>
      </w:r>
      <w:r w:rsidRPr="00D37B13">
        <w:rPr>
          <w:rFonts w:ascii="Calibri" w:eastAsia="Calibri" w:hAnsi="Calibri" w:cs="Times New Roman"/>
          <w:sz w:val="24"/>
          <w:szCs w:val="24"/>
        </w:rPr>
        <w:t xml:space="preserve">ρόσφατη μελέτη έδειξε ότι μια αναμνηστική δόση ακόμα και με το παλιότερο εμβόλιο αύξησε την αποτελεσματικότητα έναντι της λοίμωξης με την παραλλαγή </w:t>
      </w:r>
      <w:r w:rsidRPr="00D37B13">
        <w:rPr>
          <w:rFonts w:ascii="Calibri" w:eastAsia="Calibri" w:hAnsi="Calibri" w:cs="Times New Roman"/>
          <w:sz w:val="24"/>
          <w:szCs w:val="24"/>
          <w:lang w:val="en-US"/>
        </w:rPr>
        <w:t>Omicron</w:t>
      </w:r>
      <w:r w:rsidRPr="00D37B13">
        <w:rPr>
          <w:rFonts w:ascii="Calibri" w:eastAsia="Calibri" w:hAnsi="Calibri" w:cs="Times New Roman"/>
          <w:sz w:val="24"/>
          <w:szCs w:val="24"/>
        </w:rPr>
        <w:t xml:space="preserve"> σε επίπεδα υψηλότερα από αυτά που επιτεύχθηκαν μετά από 2 δόσεις, ενώ δεν υπήρχαν ενδείξεις μείωσης της αποτελεσματικότητας ακόμα και 3 μήνες μετά την αναμνηστική δόση.</w:t>
      </w:r>
      <w:r w:rsidRPr="00D37B13">
        <w:rPr>
          <w:rFonts w:ascii="Calibri" w:eastAsia="Calibri" w:hAnsi="Calibri" w:cs="Times New Roman"/>
          <w:sz w:val="24"/>
          <w:szCs w:val="24"/>
          <w:vertAlign w:val="superscript"/>
        </w:rPr>
        <w:t xml:space="preserve">13  </w:t>
      </w:r>
      <w:r w:rsidRPr="00D37B13">
        <w:rPr>
          <w:rFonts w:ascii="Calibri" w:eastAsia="Calibri" w:hAnsi="Calibri" w:cs="Times New Roman"/>
          <w:b/>
          <w:bCs/>
          <w:sz w:val="24"/>
          <w:szCs w:val="24"/>
        </w:rPr>
        <w:t>Εξ άλλου πιστεύουμε ότι κανείς δεν μπορεί να αρνηθεί σε γονείς που θέλουν να εμβολιάσουν τα παιδιά τους με το επικαιροποιημένο εμβόλιο, για να τα προστατεύσουν, το δικαίωμα αυτό.</w:t>
      </w:r>
    </w:p>
    <w:p w14:paraId="79BFA9B7" w14:textId="77777777" w:rsidR="00D37B13" w:rsidRPr="00D37B13" w:rsidRDefault="00D37B13" w:rsidP="00D37B13">
      <w:pPr>
        <w:jc w:val="both"/>
        <w:rPr>
          <w:rFonts w:ascii="Calibri" w:eastAsia="Calibri" w:hAnsi="Calibri" w:cs="Times New Roman"/>
          <w:sz w:val="24"/>
          <w:szCs w:val="24"/>
        </w:rPr>
      </w:pPr>
    </w:p>
    <w:p w14:paraId="48DEC984" w14:textId="77777777" w:rsidR="00D37B13" w:rsidRPr="00D37B13" w:rsidRDefault="00D37B13" w:rsidP="00D37B13">
      <w:pPr>
        <w:jc w:val="both"/>
        <w:rPr>
          <w:rFonts w:ascii="Calibri" w:eastAsia="Calibri" w:hAnsi="Calibri" w:cs="Times New Roman"/>
          <w:b/>
          <w:bCs/>
          <w:sz w:val="24"/>
          <w:szCs w:val="24"/>
        </w:rPr>
      </w:pPr>
      <w:r w:rsidRPr="00D37B13">
        <w:rPr>
          <w:rFonts w:ascii="Calibri" w:eastAsia="Calibri" w:hAnsi="Calibri" w:cs="Times New Roman"/>
          <w:b/>
          <w:bCs/>
          <w:sz w:val="24"/>
          <w:szCs w:val="24"/>
        </w:rPr>
        <w:t>Σχετικά με τις ηλικίες 6 μηνών- 5 ετών</w:t>
      </w:r>
    </w:p>
    <w:p w14:paraId="25E5A67F" w14:textId="77777777" w:rsidR="00D37B13" w:rsidRPr="00D37B13" w:rsidRDefault="00D37B13" w:rsidP="00D37B13">
      <w:pPr>
        <w:jc w:val="both"/>
        <w:rPr>
          <w:rFonts w:ascii="Calibri" w:eastAsia="Calibri" w:hAnsi="Calibri" w:cs="Times New Roman"/>
          <w:i/>
          <w:iCs/>
        </w:rPr>
      </w:pPr>
      <w:r w:rsidRPr="00D37B13">
        <w:rPr>
          <w:rFonts w:ascii="Calibri" w:eastAsia="Calibri" w:hAnsi="Calibri" w:cs="Times New Roman"/>
          <w:sz w:val="24"/>
          <w:szCs w:val="24"/>
        </w:rPr>
        <w:t xml:space="preserve">Η ηλικιακή ομάδα αυτή κατά την περίοδο της παραλλαγής Όμικρον παρουσιάζει υψηλά ποσοστά νοσηλείας με τα 2/3 περίπου των νοσηλειών να αφορούν αυτή την ηλικιακή ομάδα και νοσηρότητας και </w:t>
      </w:r>
      <w:proofErr w:type="spellStart"/>
      <w:r w:rsidRPr="00D37B13">
        <w:rPr>
          <w:rFonts w:ascii="Calibri" w:eastAsia="Calibri" w:hAnsi="Calibri" w:cs="Times New Roman"/>
          <w:sz w:val="24"/>
          <w:szCs w:val="24"/>
        </w:rPr>
        <w:t>κατ</w:t>
      </w:r>
      <w:proofErr w:type="spellEnd"/>
      <w:r w:rsidRPr="00D37B13">
        <w:rPr>
          <w:rFonts w:ascii="Calibri" w:eastAsia="Calibri" w:hAnsi="Calibri" w:cs="Times New Roman"/>
          <w:sz w:val="24"/>
          <w:szCs w:val="24"/>
        </w:rPr>
        <w:t xml:space="preserve"> επέκταση επιπλοκών από τη νόσο με , για αυτό το λόγο είναι μια ομάδα στόχος για την πρόληψη της νόσου. </w:t>
      </w:r>
    </w:p>
    <w:p w14:paraId="76310BEF" w14:textId="1D238978" w:rsidR="00D37B13" w:rsidRDefault="00D37B13" w:rsidP="00D37B13">
      <w:pPr>
        <w:jc w:val="both"/>
        <w:rPr>
          <w:rFonts w:ascii="Calibri" w:eastAsia="Calibri" w:hAnsi="Calibri" w:cs="Times New Roman"/>
          <w:sz w:val="24"/>
          <w:szCs w:val="24"/>
        </w:rPr>
      </w:pPr>
      <w:r w:rsidRPr="00D37B13">
        <w:rPr>
          <w:rFonts w:ascii="Calibri" w:eastAsia="Calibri" w:hAnsi="Calibri" w:cs="Times New Roman"/>
          <w:b/>
          <w:bCs/>
          <w:sz w:val="24"/>
          <w:szCs w:val="24"/>
        </w:rPr>
        <w:t xml:space="preserve">Σύμφωνα με  δεδομένα που παρουσιάστηκαν στη Διημερίδα της Ελληνικής Εταιρείας Παιδιατρικών Λοιμώξεων στη Θεσσαλονίκη στη χώρα μας είχαν μέχρι και το τέλος Νοεμβρίου του 2022 είχαν νοσηλευτεί 7627 παιδιά εκ των οποίων τα 75 χρειάστηκαν εισαγωγή στη ΜΕΘ ενώ 11 δυστυχώς κατέληξαν.  </w:t>
      </w:r>
      <w:r w:rsidRPr="00D37B13">
        <w:rPr>
          <w:rFonts w:ascii="Calibri" w:eastAsia="Calibri" w:hAnsi="Calibri" w:cs="Times New Roman"/>
          <w:sz w:val="24"/>
          <w:szCs w:val="24"/>
        </w:rPr>
        <w:t xml:space="preserve">Οι αριθμοί αυτοί είναι αρκετά μεγαλύτεροι σε σχέση με άλλα λοιμώδη νοσήματα για τα οποία εμβολιάζεται καθολικά ο παιδιατρικός πληθυσμός και θεωρούμε ότι εφόσον υπάρχει ασφαλές και αποτελεσματικό εμβόλιο θα πρέπει να έχουν δικαίωμα τα παιδιά καθολικά να εμβολιαστούν και να λαμβάνουν αναμνηστικές δόσεις. </w:t>
      </w:r>
    </w:p>
    <w:p w14:paraId="775D7AA9" w14:textId="58379CD4" w:rsidR="00056038" w:rsidRDefault="00056038" w:rsidP="00D37B13">
      <w:pPr>
        <w:jc w:val="both"/>
        <w:rPr>
          <w:rFonts w:ascii="Calibri" w:eastAsia="Calibri" w:hAnsi="Calibri" w:cs="Times New Roman"/>
          <w:sz w:val="24"/>
          <w:szCs w:val="24"/>
        </w:rPr>
      </w:pPr>
    </w:p>
    <w:p w14:paraId="68885F88" w14:textId="52C5E189" w:rsidR="00056038" w:rsidRDefault="00056038" w:rsidP="00D37B13">
      <w:pPr>
        <w:jc w:val="both"/>
        <w:rPr>
          <w:rFonts w:ascii="Calibri" w:eastAsia="Calibri" w:hAnsi="Calibri" w:cs="Times New Roman"/>
          <w:sz w:val="24"/>
          <w:szCs w:val="24"/>
        </w:rPr>
      </w:pPr>
    </w:p>
    <w:p w14:paraId="50D498BA" w14:textId="77777777" w:rsidR="00056038" w:rsidRDefault="00056038" w:rsidP="00D37B13">
      <w:pPr>
        <w:jc w:val="both"/>
        <w:rPr>
          <w:rFonts w:ascii="Calibri" w:eastAsia="Calibri" w:hAnsi="Calibri" w:cs="Times New Roman"/>
          <w:sz w:val="24"/>
          <w:szCs w:val="24"/>
        </w:rPr>
      </w:pPr>
    </w:p>
    <w:p w14:paraId="0C6A2BA6" w14:textId="695A8607" w:rsidR="00056038" w:rsidRDefault="00056038" w:rsidP="00D37B13">
      <w:pPr>
        <w:jc w:val="both"/>
        <w:rPr>
          <w:rFonts w:ascii="Calibri" w:eastAsia="Calibri" w:hAnsi="Calibri" w:cs="Times New Roman"/>
          <w:sz w:val="24"/>
          <w:szCs w:val="24"/>
        </w:rPr>
      </w:pPr>
      <w:r>
        <w:rPr>
          <w:rFonts w:ascii="Calibri" w:eastAsia="Calibri" w:hAnsi="Calibri" w:cs="Times New Roman"/>
          <w:sz w:val="24"/>
          <w:szCs w:val="24"/>
        </w:rPr>
        <w:t>Ο Πρόεδρος</w:t>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t>Ο Γραμματέας</w:t>
      </w:r>
    </w:p>
    <w:p w14:paraId="2BFD48ED" w14:textId="69A93E1C" w:rsidR="00056038" w:rsidRPr="00D37B13" w:rsidRDefault="00056038" w:rsidP="00D37B13">
      <w:pPr>
        <w:jc w:val="both"/>
        <w:rPr>
          <w:rFonts w:ascii="Calibri" w:eastAsia="Calibri" w:hAnsi="Calibri" w:cs="Times New Roman"/>
          <w:sz w:val="24"/>
          <w:szCs w:val="24"/>
        </w:rPr>
      </w:pPr>
      <w:r>
        <w:rPr>
          <w:rFonts w:ascii="Calibri" w:eastAsia="Calibri" w:hAnsi="Calibri" w:cs="Times New Roman"/>
          <w:sz w:val="24"/>
          <w:szCs w:val="24"/>
        </w:rPr>
        <w:t>Κων/νος Νταλούκας</w:t>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t xml:space="preserve">Ιωάννης </w:t>
      </w:r>
      <w:proofErr w:type="spellStart"/>
      <w:r>
        <w:rPr>
          <w:rFonts w:ascii="Calibri" w:eastAsia="Calibri" w:hAnsi="Calibri" w:cs="Times New Roman"/>
          <w:sz w:val="24"/>
          <w:szCs w:val="24"/>
        </w:rPr>
        <w:t>Ρίτσας</w:t>
      </w:r>
      <w:proofErr w:type="spellEnd"/>
    </w:p>
    <w:p w14:paraId="52A3B9B2" w14:textId="77777777" w:rsidR="00D37B13" w:rsidRPr="00D37B13" w:rsidRDefault="00D37B13" w:rsidP="00D37B13">
      <w:pPr>
        <w:jc w:val="both"/>
        <w:rPr>
          <w:rFonts w:ascii="Calibri" w:eastAsia="Calibri" w:hAnsi="Calibri" w:cs="Times New Roman"/>
          <w:i/>
          <w:iCs/>
        </w:rPr>
      </w:pPr>
    </w:p>
    <w:p w14:paraId="6E17D4D4" w14:textId="77777777" w:rsidR="00D37B13" w:rsidRPr="00D37B13" w:rsidRDefault="00D37B13" w:rsidP="00D37B13">
      <w:pPr>
        <w:jc w:val="both"/>
        <w:rPr>
          <w:rFonts w:ascii="Calibri" w:eastAsia="Calibri" w:hAnsi="Calibri" w:cs="Times New Roman"/>
        </w:rPr>
      </w:pPr>
    </w:p>
    <w:p w14:paraId="25CD6AD0" w14:textId="77777777" w:rsidR="00056038" w:rsidRDefault="00056038">
      <w:pPr>
        <w:rPr>
          <w:rFonts w:ascii="Calibri" w:eastAsia="Calibri" w:hAnsi="Calibri" w:cs="Times New Roman"/>
          <w:i/>
          <w:iCs/>
          <w:lang w:val="en-US"/>
        </w:rPr>
      </w:pPr>
      <w:r>
        <w:rPr>
          <w:rFonts w:ascii="Calibri" w:eastAsia="Calibri" w:hAnsi="Calibri" w:cs="Times New Roman"/>
          <w:i/>
          <w:iCs/>
          <w:lang w:val="en-US"/>
        </w:rPr>
        <w:br w:type="page"/>
      </w:r>
    </w:p>
    <w:p w14:paraId="234CA9D3" w14:textId="548765D5" w:rsidR="00D37B13" w:rsidRPr="00D37B13" w:rsidRDefault="00D37B13" w:rsidP="00D37B13">
      <w:pPr>
        <w:jc w:val="both"/>
        <w:rPr>
          <w:rFonts w:ascii="Calibri" w:eastAsia="Calibri" w:hAnsi="Calibri" w:cs="Times New Roman"/>
          <w:i/>
          <w:iCs/>
        </w:rPr>
      </w:pPr>
      <w:r w:rsidRPr="00D37B13">
        <w:rPr>
          <w:rFonts w:ascii="Calibri" w:eastAsia="Calibri" w:hAnsi="Calibri" w:cs="Times New Roman"/>
          <w:i/>
          <w:iCs/>
          <w:lang w:val="en-US"/>
        </w:rPr>
        <w:lastRenderedPageBreak/>
        <w:t>Reference</w:t>
      </w:r>
      <w:r w:rsidR="00056038">
        <w:rPr>
          <w:rFonts w:ascii="Calibri" w:eastAsia="Calibri" w:hAnsi="Calibri" w:cs="Times New Roman"/>
          <w:i/>
          <w:iCs/>
          <w:lang w:val="en-US"/>
        </w:rPr>
        <w:t>s</w:t>
      </w:r>
    </w:p>
    <w:p w14:paraId="4F1BD134" w14:textId="77777777" w:rsidR="00D37B13" w:rsidRPr="00D37B13" w:rsidRDefault="00D37B13" w:rsidP="00D37B13">
      <w:pPr>
        <w:numPr>
          <w:ilvl w:val="0"/>
          <w:numId w:val="1"/>
        </w:numPr>
        <w:jc w:val="both"/>
        <w:rPr>
          <w:rFonts w:ascii="Calibri" w:eastAsia="Calibri" w:hAnsi="Calibri" w:cs="Times New Roman"/>
          <w:i/>
          <w:iCs/>
          <w:lang w:val="en-US"/>
        </w:rPr>
      </w:pPr>
      <w:r w:rsidRPr="00D37B13">
        <w:rPr>
          <w:rFonts w:ascii="Calibri" w:eastAsia="Calibri" w:hAnsi="Calibri" w:cs="Times New Roman"/>
          <w:sz w:val="24"/>
          <w:szCs w:val="24"/>
          <w:lang w:val="en-US"/>
        </w:rPr>
        <w:t>[</w:t>
      </w:r>
      <w:r w:rsidRPr="00D37B13">
        <w:rPr>
          <w:rFonts w:ascii="Helvetica" w:eastAsia="Calibri" w:hAnsi="Helvetica" w:cs="Helvetica"/>
          <w:color w:val="2A2A2A"/>
          <w:sz w:val="18"/>
          <w:szCs w:val="18"/>
          <w:lang w:val="en-US"/>
        </w:rPr>
        <w:t xml:space="preserve"> World Health Organization. </w:t>
      </w:r>
      <w:r w:rsidRPr="00D37B13">
        <w:rPr>
          <w:rFonts w:ascii="inherit" w:eastAsia="Calibri" w:hAnsi="inherit" w:cs="Helvetica"/>
          <w:i/>
          <w:iCs/>
          <w:color w:val="2A2A2A"/>
          <w:sz w:val="18"/>
          <w:szCs w:val="18"/>
          <w:bdr w:val="none" w:sz="0" w:space="0" w:color="auto" w:frame="1"/>
          <w:lang w:val="en-US"/>
        </w:rPr>
        <w:t xml:space="preserve">WHO </w:t>
      </w:r>
      <w:proofErr w:type="spellStart"/>
      <w:r w:rsidRPr="00D37B13">
        <w:rPr>
          <w:rFonts w:ascii="inherit" w:eastAsia="Calibri" w:hAnsi="inherit" w:cs="Helvetica"/>
          <w:i/>
          <w:iCs/>
          <w:color w:val="2A2A2A"/>
          <w:sz w:val="18"/>
          <w:szCs w:val="18"/>
          <w:bdr w:val="none" w:sz="0" w:space="0" w:color="auto" w:frame="1"/>
          <w:lang w:val="en-US"/>
        </w:rPr>
        <w:t>Coronovirus</w:t>
      </w:r>
      <w:proofErr w:type="spellEnd"/>
      <w:r w:rsidRPr="00D37B13">
        <w:rPr>
          <w:rFonts w:ascii="inherit" w:eastAsia="Calibri" w:hAnsi="inherit" w:cs="Helvetica"/>
          <w:i/>
          <w:iCs/>
          <w:color w:val="2A2A2A"/>
          <w:sz w:val="18"/>
          <w:szCs w:val="18"/>
          <w:bdr w:val="none" w:sz="0" w:space="0" w:color="auto" w:frame="1"/>
          <w:lang w:val="en-US"/>
        </w:rPr>
        <w:t xml:space="preserve"> (COVID-19) Dashboard</w:t>
      </w:r>
      <w:r w:rsidRPr="00D37B13">
        <w:rPr>
          <w:rFonts w:ascii="Helvetica" w:eastAsia="Calibri" w:hAnsi="Helvetica" w:cs="Helvetica"/>
          <w:color w:val="2A2A2A"/>
          <w:sz w:val="18"/>
          <w:szCs w:val="18"/>
          <w:lang w:val="en-US"/>
        </w:rPr>
        <w:t>. </w:t>
      </w:r>
      <w:hyperlink r:id="rId6" w:tgtFrame="_blank" w:history="1">
        <w:r w:rsidRPr="00D37B13">
          <w:rPr>
            <w:rFonts w:ascii="Helvetica" w:eastAsia="Calibri" w:hAnsi="Helvetica" w:cs="Helvetica"/>
            <w:color w:val="006FB7"/>
            <w:sz w:val="18"/>
            <w:szCs w:val="18"/>
            <w:bdr w:val="none" w:sz="0" w:space="0" w:color="auto" w:frame="1"/>
            <w:lang w:val="en-US"/>
          </w:rPr>
          <w:t>https://covid19.who.int/</w:t>
        </w:r>
      </w:hyperlink>
      <w:r w:rsidRPr="00D37B13">
        <w:rPr>
          <w:rFonts w:ascii="Helvetica" w:eastAsia="Calibri" w:hAnsi="Helvetica" w:cs="Helvetica"/>
          <w:color w:val="2A2A2A"/>
          <w:sz w:val="18"/>
          <w:szCs w:val="18"/>
          <w:lang w:val="en-US"/>
        </w:rPr>
        <w:t> (2 November 2022, date last accessed).]</w:t>
      </w:r>
    </w:p>
    <w:p w14:paraId="793591A7" w14:textId="77777777" w:rsidR="00D37B13" w:rsidRPr="00D37B13" w:rsidRDefault="00D37B13" w:rsidP="00D37B13">
      <w:pPr>
        <w:numPr>
          <w:ilvl w:val="0"/>
          <w:numId w:val="1"/>
        </w:numPr>
        <w:shd w:val="clear" w:color="auto" w:fill="FFFFFF"/>
        <w:jc w:val="both"/>
        <w:textAlignment w:val="baseline"/>
        <w:rPr>
          <w:rFonts w:ascii="Helvetica" w:eastAsia="Calibri" w:hAnsi="Helvetica" w:cs="Helvetica"/>
          <w:color w:val="2A2A2A"/>
          <w:sz w:val="18"/>
          <w:szCs w:val="18"/>
          <w:lang w:val="en-US"/>
        </w:rPr>
      </w:pPr>
      <w:r w:rsidRPr="00D37B13">
        <w:rPr>
          <w:rFonts w:ascii="Calibri" w:eastAsia="Calibri" w:hAnsi="Calibri" w:cs="Times New Roman"/>
          <w:sz w:val="24"/>
          <w:szCs w:val="24"/>
          <w:lang w:val="en-US"/>
        </w:rPr>
        <w:t>[</w:t>
      </w:r>
      <w:r w:rsidRPr="00D37B13">
        <w:rPr>
          <w:rFonts w:ascii="Helvetica" w:eastAsia="Calibri" w:hAnsi="Helvetica" w:cs="Helvetica"/>
          <w:color w:val="2A2A2A"/>
          <w:sz w:val="18"/>
          <w:szCs w:val="18"/>
          <w:lang w:val="en-US"/>
        </w:rPr>
        <w:t>UNICEF. </w:t>
      </w:r>
      <w:r w:rsidRPr="00D37B13">
        <w:rPr>
          <w:rFonts w:ascii="inherit" w:eastAsia="Calibri" w:hAnsi="inherit" w:cs="Helvetica"/>
          <w:i/>
          <w:iCs/>
          <w:color w:val="2A2A2A"/>
          <w:sz w:val="18"/>
          <w:szCs w:val="18"/>
          <w:bdr w:val="none" w:sz="0" w:space="0" w:color="auto" w:frame="1"/>
          <w:lang w:val="en-US"/>
        </w:rPr>
        <w:t>COVID-19 Confirmed Cases and Deaths, Age-Disaggregated Results.</w:t>
      </w:r>
      <w:r w:rsidRPr="00D37B13">
        <w:rPr>
          <w:rFonts w:ascii="Helvetica" w:eastAsia="Calibri" w:hAnsi="Helvetica" w:cs="Helvetica"/>
          <w:color w:val="2A2A2A"/>
          <w:sz w:val="18"/>
          <w:szCs w:val="18"/>
          <w:lang w:val="en-US"/>
        </w:rPr>
        <w:t>  </w:t>
      </w:r>
      <w:hyperlink r:id="rId7" w:tgtFrame="_blank" w:history="1">
        <w:r w:rsidRPr="00D37B13">
          <w:rPr>
            <w:rFonts w:ascii="Helvetica" w:eastAsia="Calibri" w:hAnsi="Helvetica" w:cs="Helvetica"/>
            <w:color w:val="006FB7"/>
            <w:sz w:val="18"/>
            <w:szCs w:val="18"/>
            <w:bdr w:val="none" w:sz="0" w:space="0" w:color="auto" w:frame="1"/>
            <w:lang w:val="en-US"/>
          </w:rPr>
          <w:t>https://data.unicef.org/resources/covid-19-confirmed-cases-and-deaths-dashboard/</w:t>
        </w:r>
      </w:hyperlink>
      <w:r w:rsidRPr="00D37B13">
        <w:rPr>
          <w:rFonts w:ascii="Helvetica" w:eastAsia="Calibri" w:hAnsi="Helvetica" w:cs="Helvetica"/>
          <w:color w:val="2A2A2A"/>
          <w:sz w:val="18"/>
          <w:szCs w:val="18"/>
          <w:lang w:val="en-US"/>
        </w:rPr>
        <w:t> (2 November 2022, date last accessed).]</w:t>
      </w:r>
    </w:p>
    <w:p w14:paraId="1721A4BD" w14:textId="77777777" w:rsidR="00D37B13" w:rsidRPr="00D37B13" w:rsidRDefault="00D37B13" w:rsidP="00D37B13">
      <w:pPr>
        <w:numPr>
          <w:ilvl w:val="0"/>
          <w:numId w:val="1"/>
        </w:numPr>
        <w:jc w:val="both"/>
        <w:rPr>
          <w:rFonts w:ascii="Calibri" w:eastAsia="Calibri" w:hAnsi="Calibri" w:cs="Times New Roman"/>
          <w:i/>
          <w:iCs/>
          <w:lang w:val="en-US"/>
        </w:rPr>
      </w:pPr>
      <w:r w:rsidRPr="00D37B13">
        <w:rPr>
          <w:rFonts w:ascii="Calibri" w:eastAsia="Calibri" w:hAnsi="Calibri" w:cs="Times New Roman"/>
          <w:i/>
          <w:iCs/>
          <w:lang w:val="en-US"/>
        </w:rPr>
        <w:t xml:space="preserve">International Journal of Epidemiology, </w:t>
      </w:r>
      <w:hyperlink r:id="rId8" w:history="1">
        <w:r w:rsidRPr="00D37B13">
          <w:rPr>
            <w:rFonts w:ascii="Calibri" w:eastAsia="Calibri" w:hAnsi="Calibri" w:cs="Times New Roman"/>
            <w:i/>
            <w:iCs/>
            <w:color w:val="0563C1"/>
            <w:u w:val="single"/>
            <w:lang w:val="en-US"/>
          </w:rPr>
          <w:t>https://doi.org/10.1093/ije/dyac225</w:t>
        </w:r>
      </w:hyperlink>
    </w:p>
    <w:p w14:paraId="00B99DE3" w14:textId="77777777" w:rsidR="00D37B13" w:rsidRPr="00D37B13" w:rsidRDefault="00D37B13" w:rsidP="00D37B13">
      <w:pPr>
        <w:numPr>
          <w:ilvl w:val="0"/>
          <w:numId w:val="1"/>
        </w:numPr>
        <w:jc w:val="both"/>
        <w:rPr>
          <w:rFonts w:ascii="Calibri" w:eastAsia="Calibri" w:hAnsi="Calibri" w:cs="Times New Roman"/>
          <w:i/>
          <w:iCs/>
          <w:lang w:val="en-US"/>
        </w:rPr>
      </w:pPr>
      <w:hyperlink r:id="rId9" w:history="1">
        <w:r w:rsidRPr="00D37B13">
          <w:rPr>
            <w:rFonts w:ascii="Calibri" w:eastAsia="Calibri" w:hAnsi="Calibri" w:cs="Times New Roman"/>
            <w:i/>
            <w:iCs/>
            <w:color w:val="0563C1"/>
            <w:u w:val="single"/>
            <w:lang w:val="en-US"/>
          </w:rPr>
          <w:t>https://www.cdc.gov/vaccines/acip/meetings/index.html</w:t>
        </w:r>
      </w:hyperlink>
    </w:p>
    <w:p w14:paraId="6BEABBEB" w14:textId="77777777" w:rsidR="00D37B13" w:rsidRPr="00D37B13" w:rsidRDefault="00D37B13" w:rsidP="00D37B13">
      <w:pPr>
        <w:numPr>
          <w:ilvl w:val="0"/>
          <w:numId w:val="1"/>
        </w:numPr>
        <w:jc w:val="both"/>
        <w:rPr>
          <w:rFonts w:ascii="Calibri" w:eastAsia="Calibri" w:hAnsi="Calibri" w:cs="Times New Roman"/>
          <w:i/>
          <w:iCs/>
          <w:lang w:val="en-US"/>
        </w:rPr>
      </w:pPr>
      <w:hyperlink r:id="rId10" w:history="1">
        <w:r w:rsidRPr="00D37B13">
          <w:rPr>
            <w:rFonts w:ascii="Calibri" w:eastAsia="Calibri" w:hAnsi="Calibri" w:cs="Times New Roman"/>
            <w:i/>
            <w:iCs/>
            <w:color w:val="0563C1"/>
            <w:u w:val="single"/>
            <w:lang w:val="en-US"/>
          </w:rPr>
          <w:t>https://jamanetwork.com/journals/jamanetworkopen/fullarticle/2799549</w:t>
        </w:r>
      </w:hyperlink>
    </w:p>
    <w:p w14:paraId="273817E4" w14:textId="77777777" w:rsidR="00D37B13" w:rsidRPr="00D37B13" w:rsidRDefault="00D37B13" w:rsidP="00D37B13">
      <w:pPr>
        <w:numPr>
          <w:ilvl w:val="0"/>
          <w:numId w:val="1"/>
        </w:numPr>
        <w:jc w:val="both"/>
        <w:rPr>
          <w:rFonts w:ascii="Calibri" w:eastAsia="Calibri" w:hAnsi="Calibri" w:cs="Times New Roman"/>
          <w:i/>
          <w:iCs/>
          <w:lang w:val="en-US"/>
        </w:rPr>
      </w:pPr>
      <w:hyperlink r:id="rId11" w:history="1">
        <w:r w:rsidRPr="00D37B13">
          <w:rPr>
            <w:rFonts w:ascii="Calibri" w:eastAsia="Calibri" w:hAnsi="Calibri" w:cs="Times New Roman"/>
            <w:i/>
            <w:iCs/>
            <w:color w:val="0563C1"/>
            <w:u w:val="single"/>
            <w:lang w:val="en-US"/>
          </w:rPr>
          <w:t>https://www.cdc.gov/vaccines/acip/meetings/index.html</w:t>
        </w:r>
      </w:hyperlink>
    </w:p>
    <w:p w14:paraId="2DF94C0A" w14:textId="77777777" w:rsidR="00D37B13" w:rsidRPr="00D37B13" w:rsidRDefault="00D37B13" w:rsidP="00D37B13">
      <w:pPr>
        <w:numPr>
          <w:ilvl w:val="0"/>
          <w:numId w:val="1"/>
        </w:numPr>
        <w:jc w:val="both"/>
        <w:rPr>
          <w:rFonts w:ascii="Calibri" w:eastAsia="Calibri" w:hAnsi="Calibri" w:cs="Times New Roman"/>
          <w:i/>
          <w:iCs/>
          <w:lang w:val="en-US"/>
        </w:rPr>
      </w:pPr>
      <w:hyperlink r:id="rId12" w:history="1">
        <w:r w:rsidRPr="00D37B13">
          <w:rPr>
            <w:rFonts w:ascii="Calibri" w:eastAsia="Calibri" w:hAnsi="Calibri" w:cs="Times New Roman"/>
            <w:i/>
            <w:iCs/>
            <w:color w:val="0563C1"/>
            <w:u w:val="single"/>
            <w:lang w:val="en-US"/>
          </w:rPr>
          <w:t>https://jamanetwork.com/journals/jamapediatrics/fullarticle/2793024</w:t>
        </w:r>
      </w:hyperlink>
    </w:p>
    <w:p w14:paraId="4FE6D6AD" w14:textId="77777777" w:rsidR="00D37B13" w:rsidRPr="00D37B13" w:rsidRDefault="00D37B13" w:rsidP="00D37B13">
      <w:pPr>
        <w:numPr>
          <w:ilvl w:val="0"/>
          <w:numId w:val="1"/>
        </w:numPr>
        <w:jc w:val="both"/>
        <w:rPr>
          <w:rFonts w:ascii="Calibri" w:eastAsia="Calibri" w:hAnsi="Calibri" w:cs="Times New Roman"/>
          <w:i/>
          <w:iCs/>
          <w:lang w:val="en-US"/>
        </w:rPr>
      </w:pPr>
      <w:hyperlink r:id="rId13" w:history="1">
        <w:r w:rsidRPr="00D37B13">
          <w:rPr>
            <w:rFonts w:ascii="Calibri" w:eastAsia="Calibri" w:hAnsi="Calibri" w:cs="Times New Roman"/>
            <w:i/>
            <w:iCs/>
            <w:color w:val="0563C1"/>
            <w:u w:val="single"/>
            <w:lang w:val="en-US"/>
          </w:rPr>
          <w:t>https://academic.oup.com/cid/advance-article/doi/10.1093/cid/ciac637/6655523</w:t>
        </w:r>
      </w:hyperlink>
    </w:p>
    <w:p w14:paraId="65C689C8" w14:textId="77777777" w:rsidR="00D37B13" w:rsidRPr="00D37B13" w:rsidRDefault="00D37B13" w:rsidP="00D37B13">
      <w:pPr>
        <w:numPr>
          <w:ilvl w:val="0"/>
          <w:numId w:val="1"/>
        </w:numPr>
        <w:jc w:val="both"/>
        <w:rPr>
          <w:rFonts w:ascii="Calibri" w:eastAsia="Calibri" w:hAnsi="Calibri" w:cs="Times New Roman"/>
          <w:i/>
          <w:iCs/>
          <w:lang w:val="en-US"/>
        </w:rPr>
      </w:pPr>
      <w:r w:rsidRPr="00D37B13">
        <w:rPr>
          <w:rFonts w:ascii="Calibri" w:eastAsia="Calibri" w:hAnsi="Calibri" w:cs="Times New Roman"/>
          <w:i/>
          <w:iCs/>
          <w:lang w:val="en-US"/>
        </w:rPr>
        <w:t>WHO. Interim Statement on COVID-19 Vaccination for Children. 2022. https://www.who.int/news/item/11-08-2022-interim-statement-on-covid-19-vaccination-for-children (2 November 2022, date last accessed).</w:t>
      </w:r>
    </w:p>
    <w:p w14:paraId="0CA09CD2" w14:textId="77777777" w:rsidR="00D37B13" w:rsidRPr="00D37B13" w:rsidRDefault="00D37B13" w:rsidP="00D37B13">
      <w:pPr>
        <w:numPr>
          <w:ilvl w:val="0"/>
          <w:numId w:val="1"/>
        </w:numPr>
        <w:jc w:val="both"/>
        <w:rPr>
          <w:rFonts w:ascii="Calibri" w:eastAsia="Calibri" w:hAnsi="Calibri" w:cs="Times New Roman"/>
          <w:i/>
          <w:iCs/>
          <w:lang w:val="en-US"/>
        </w:rPr>
      </w:pPr>
      <w:hyperlink r:id="rId14" w:history="1">
        <w:r w:rsidRPr="00D37B13">
          <w:rPr>
            <w:rFonts w:ascii="Calibri" w:eastAsia="Calibri" w:hAnsi="Calibri" w:cs="Times New Roman"/>
            <w:i/>
            <w:iCs/>
            <w:color w:val="0563C1"/>
            <w:u w:val="single"/>
            <w:lang w:val="en-US"/>
          </w:rPr>
          <w:t>https://www.ema.europa.eu/en/events/committee-medicinal-products-human-use-chmp-7-10-november-2022</w:t>
        </w:r>
      </w:hyperlink>
    </w:p>
    <w:p w14:paraId="08ACCBA1" w14:textId="77777777" w:rsidR="00D37B13" w:rsidRPr="00D37B13" w:rsidRDefault="00D37B13" w:rsidP="00D37B13">
      <w:pPr>
        <w:numPr>
          <w:ilvl w:val="0"/>
          <w:numId w:val="1"/>
        </w:numPr>
        <w:jc w:val="both"/>
        <w:rPr>
          <w:rFonts w:ascii="Calibri" w:eastAsia="Calibri" w:hAnsi="Calibri" w:cs="Times New Roman"/>
          <w:i/>
          <w:iCs/>
          <w:lang w:val="en-US"/>
        </w:rPr>
      </w:pPr>
      <w:hyperlink r:id="rId15" w:history="1">
        <w:r w:rsidRPr="00D37B13">
          <w:rPr>
            <w:rFonts w:ascii="Calibri" w:eastAsia="Calibri" w:hAnsi="Calibri" w:cs="Times New Roman"/>
            <w:i/>
            <w:iCs/>
            <w:color w:val="0563C1"/>
            <w:u w:val="single"/>
            <w:lang w:val="en-US"/>
          </w:rPr>
          <w:t>https://jamanetwork.com/journals/jamanetworkopen/fullarticle/2799549</w:t>
        </w:r>
      </w:hyperlink>
    </w:p>
    <w:p w14:paraId="680CA0D3" w14:textId="77777777" w:rsidR="00D37B13" w:rsidRPr="00D37B13" w:rsidRDefault="00D37B13" w:rsidP="00D37B13">
      <w:pPr>
        <w:numPr>
          <w:ilvl w:val="0"/>
          <w:numId w:val="1"/>
        </w:numPr>
        <w:jc w:val="both"/>
        <w:rPr>
          <w:rFonts w:ascii="Calibri" w:eastAsia="Calibri" w:hAnsi="Calibri" w:cs="Times New Roman"/>
          <w:i/>
          <w:iCs/>
          <w:lang w:val="en-US"/>
        </w:rPr>
      </w:pPr>
      <w:hyperlink r:id="rId16" w:history="1">
        <w:r w:rsidRPr="00D37B13">
          <w:rPr>
            <w:rFonts w:ascii="Calibri" w:eastAsia="Calibri" w:hAnsi="Calibri" w:cs="Times New Roman"/>
            <w:i/>
            <w:iCs/>
            <w:color w:val="0563C1"/>
            <w:u w:val="single"/>
            <w:lang w:val="en-US"/>
          </w:rPr>
          <w:t>https://www.cdc.gov/vaccines/acip/meetings/index.html</w:t>
        </w:r>
      </w:hyperlink>
    </w:p>
    <w:p w14:paraId="4782A77A" w14:textId="77777777" w:rsidR="00D37B13" w:rsidRPr="00D37B13" w:rsidRDefault="00D37B13" w:rsidP="00D37B13">
      <w:pPr>
        <w:numPr>
          <w:ilvl w:val="0"/>
          <w:numId w:val="1"/>
        </w:numPr>
        <w:jc w:val="both"/>
        <w:rPr>
          <w:rFonts w:ascii="Calibri" w:eastAsia="Calibri" w:hAnsi="Calibri" w:cs="Times New Roman"/>
          <w:i/>
          <w:iCs/>
          <w:lang w:val="en-US"/>
        </w:rPr>
      </w:pPr>
      <w:hyperlink r:id="rId17" w:history="1">
        <w:r w:rsidRPr="00D37B13">
          <w:rPr>
            <w:rFonts w:ascii="Calibri" w:eastAsia="Calibri" w:hAnsi="Calibri" w:cs="Times New Roman"/>
            <w:i/>
            <w:iCs/>
            <w:color w:val="0563C1"/>
            <w:u w:val="single"/>
            <w:lang w:val="en-US"/>
          </w:rPr>
          <w:t>https://jamanetwork.com/journals/jamanetworkopen/fullarticle/2799549</w:t>
        </w:r>
      </w:hyperlink>
    </w:p>
    <w:p w14:paraId="2A2D66B7" w14:textId="77777777" w:rsidR="00BE4BB2" w:rsidRPr="00B423AB" w:rsidRDefault="00BE4BB2">
      <w:pPr>
        <w:rPr>
          <w:lang w:val="en-US"/>
        </w:rPr>
      </w:pPr>
    </w:p>
    <w:sectPr w:rsidR="00BE4BB2" w:rsidRPr="00B423AB" w:rsidSect="00B423A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B973D3"/>
    <w:multiLevelType w:val="hybridMultilevel"/>
    <w:tmpl w:val="01B8680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052999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3AB"/>
    <w:rsid w:val="00056038"/>
    <w:rsid w:val="00091639"/>
    <w:rsid w:val="00153102"/>
    <w:rsid w:val="00162E67"/>
    <w:rsid w:val="00374E64"/>
    <w:rsid w:val="003C5517"/>
    <w:rsid w:val="00516D51"/>
    <w:rsid w:val="005C636F"/>
    <w:rsid w:val="00702ADC"/>
    <w:rsid w:val="00812D8B"/>
    <w:rsid w:val="008C271A"/>
    <w:rsid w:val="00940B53"/>
    <w:rsid w:val="00AF51B8"/>
    <w:rsid w:val="00B423AB"/>
    <w:rsid w:val="00BE4BB2"/>
    <w:rsid w:val="00D37B13"/>
    <w:rsid w:val="00DA1DE4"/>
    <w:rsid w:val="00E75AC1"/>
    <w:rsid w:val="00EC0F58"/>
    <w:rsid w:val="00FD00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9BC81"/>
  <w15:chartTrackingRefBased/>
  <w15:docId w15:val="{B73410BC-A0E7-4C22-AA5F-9C222864A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3/ije/dyac225" TargetMode="External"/><Relationship Id="rId13" Type="http://schemas.openxmlformats.org/officeDocument/2006/relationships/hyperlink" Target="https://academic.oup.com/cid/advance-article/doi/10.1093/cid/ciac637/665552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ata.unicef.org/resources/covid-19-confirmed-cases-and-deaths-dashboard/" TargetMode="External"/><Relationship Id="rId12" Type="http://schemas.openxmlformats.org/officeDocument/2006/relationships/hyperlink" Target="https://jamanetwork.com/journals/jamapediatrics/fullarticle/2793024" TargetMode="External"/><Relationship Id="rId17" Type="http://schemas.openxmlformats.org/officeDocument/2006/relationships/hyperlink" Target="https://jamanetwork.com/journals/jamanetworkopen/fullarticle/2799549" TargetMode="External"/><Relationship Id="rId2" Type="http://schemas.openxmlformats.org/officeDocument/2006/relationships/styles" Target="styles.xml"/><Relationship Id="rId16" Type="http://schemas.openxmlformats.org/officeDocument/2006/relationships/hyperlink" Target="https://www.cdc.gov/vaccines/acip/meetings/index.html" TargetMode="External"/><Relationship Id="rId1" Type="http://schemas.openxmlformats.org/officeDocument/2006/relationships/numbering" Target="numbering.xml"/><Relationship Id="rId6" Type="http://schemas.openxmlformats.org/officeDocument/2006/relationships/hyperlink" Target="https://covid19.who.int/" TargetMode="External"/><Relationship Id="rId11" Type="http://schemas.openxmlformats.org/officeDocument/2006/relationships/hyperlink" Target="https://www.cdc.gov/vaccines/acip/meetings/index.html" TargetMode="External"/><Relationship Id="rId5" Type="http://schemas.openxmlformats.org/officeDocument/2006/relationships/image" Target="media/image1.jpeg"/><Relationship Id="rId15" Type="http://schemas.openxmlformats.org/officeDocument/2006/relationships/hyperlink" Target="https://jamanetwork.com/journals/jamanetworkopen/fullarticle/2799549" TargetMode="External"/><Relationship Id="rId10" Type="http://schemas.openxmlformats.org/officeDocument/2006/relationships/hyperlink" Target="https://jamanetwork.com/journals/jamanetworkopen/fullarticle/279954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dc.gov/vaccines/acip/meetings/index.html" TargetMode="External"/><Relationship Id="rId14" Type="http://schemas.openxmlformats.org/officeDocument/2006/relationships/hyperlink" Target="https://www.ema.europa.eu/en/events/committee-medicinal-products-human-use-chmp-7-10-november-2022"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1053</Words>
  <Characters>5690</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Κώσταs Νταλούκας</dc:creator>
  <cp:keywords/>
  <dc:description/>
  <cp:lastModifiedBy>Κώσταs Νταλούκας</cp:lastModifiedBy>
  <cp:revision>13</cp:revision>
  <dcterms:created xsi:type="dcterms:W3CDTF">2023-01-23T18:45:00Z</dcterms:created>
  <dcterms:modified xsi:type="dcterms:W3CDTF">2023-01-23T18:53:00Z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1398b70f10abe49029ae5615f5bb0913ca80af284cf4ee37ead929d62544d216</vt:lpwstr>
  </property>
</Properties>
</file>